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41" w:rsidRDefault="005F513E" w:rsidP="00951E41">
      <w:pPr>
        <w:jc w:val="center"/>
        <w:rPr>
          <w:b/>
          <w:sz w:val="24"/>
        </w:rPr>
      </w:pPr>
      <w:r>
        <w:rPr>
          <w:b/>
          <w:sz w:val="24"/>
        </w:rPr>
        <w:t xml:space="preserve">RAP 18.9 </w:t>
      </w:r>
    </w:p>
    <w:p w:rsidR="005F513E" w:rsidRDefault="005F513E" w:rsidP="00951E41">
      <w:pPr>
        <w:spacing w:line="398" w:lineRule="auto"/>
        <w:jc w:val="center"/>
        <w:rPr>
          <w:b/>
          <w:sz w:val="24"/>
        </w:rPr>
      </w:pPr>
      <w:r>
        <w:rPr>
          <w:b/>
          <w:sz w:val="24"/>
        </w:rPr>
        <w:t>VIOLATION OF RULES</w:t>
      </w:r>
    </w:p>
    <w:p w:rsidR="005F513E" w:rsidRDefault="00C2307B" w:rsidP="00951E41">
      <w:pPr>
        <w:pStyle w:val="ListParagraph"/>
        <w:spacing w:line="259" w:lineRule="auto"/>
        <w:ind w:left="0"/>
        <w:rPr>
          <w:sz w:val="24"/>
        </w:rPr>
      </w:pPr>
      <w:r>
        <w:rPr>
          <w:b/>
          <w:sz w:val="24"/>
        </w:rPr>
        <w:t>(a)</w:t>
      </w:r>
      <w:r w:rsidRPr="00C2307B">
        <w:rPr>
          <w:sz w:val="24"/>
        </w:rPr>
        <w:t xml:space="preserve"> [Unchanged.]</w:t>
      </w:r>
    </w:p>
    <w:p w:rsidR="00C2307B" w:rsidRDefault="00C2307B" w:rsidP="00951E41">
      <w:pPr>
        <w:pStyle w:val="ListParagraph"/>
        <w:spacing w:line="259" w:lineRule="auto"/>
        <w:ind w:left="90" w:hanging="90"/>
        <w:rPr>
          <w:sz w:val="24"/>
        </w:rPr>
      </w:pPr>
    </w:p>
    <w:p w:rsidR="00C2307B" w:rsidRPr="00C2307B" w:rsidRDefault="00C2307B" w:rsidP="00951E41">
      <w:pPr>
        <w:pStyle w:val="ListParagraph"/>
        <w:spacing w:line="259" w:lineRule="auto"/>
        <w:ind w:left="0"/>
        <w:rPr>
          <w:sz w:val="24"/>
        </w:rPr>
      </w:pPr>
      <w:r w:rsidRPr="00951E41">
        <w:rPr>
          <w:b/>
          <w:sz w:val="24"/>
        </w:rPr>
        <w:t>(b)</w:t>
      </w:r>
      <w:r>
        <w:rPr>
          <w:sz w:val="24"/>
        </w:rPr>
        <w:t xml:space="preserve"> </w:t>
      </w:r>
      <w:r>
        <w:rPr>
          <w:b/>
          <w:sz w:val="24"/>
        </w:rPr>
        <w:t>Dismissal on Motion of Commissioner or Clerk.</w:t>
      </w:r>
      <w:r>
        <w:rPr>
          <w:sz w:val="24"/>
        </w:rPr>
        <w:t xml:space="preserve"> The commissioner of clerk, on 10 days’ notice to the parties,</w:t>
      </w:r>
      <w:r w:rsidRPr="00C2307B">
        <w:rPr>
          <w:strike/>
          <w:sz w:val="24"/>
        </w:rPr>
        <w:t xml:space="preserve"> may</w:t>
      </w:r>
      <w:r>
        <w:rPr>
          <w:sz w:val="24"/>
        </w:rPr>
        <w:t xml:space="preserve"> (10) </w:t>
      </w:r>
      <w:r w:rsidRPr="00C2307B">
        <w:rPr>
          <w:sz w:val="24"/>
          <w:u w:val="single"/>
        </w:rPr>
        <w:t xml:space="preserve">may </w:t>
      </w:r>
      <w:r>
        <w:rPr>
          <w:sz w:val="24"/>
        </w:rPr>
        <w:t>dismiss a review proceeding as provided in section (a)</w:t>
      </w:r>
      <w:r w:rsidRPr="00C2307B">
        <w:rPr>
          <w:sz w:val="24"/>
          <w:u w:val="single"/>
        </w:rPr>
        <w:t>, (2) may dismiss a review proceeding for want of prosecution in the party seeking review has abandoned the review,</w:t>
      </w:r>
      <w:r>
        <w:rPr>
          <w:sz w:val="24"/>
        </w:rPr>
        <w:t xml:space="preserve"> and (</w:t>
      </w:r>
      <w:r w:rsidRPr="00C2307B">
        <w:rPr>
          <w:strike/>
          <w:sz w:val="24"/>
        </w:rPr>
        <w:t>2</w:t>
      </w:r>
      <w:r w:rsidRPr="00C2307B">
        <w:rPr>
          <w:sz w:val="24"/>
          <w:u w:val="single"/>
        </w:rPr>
        <w:t>3</w:t>
      </w:r>
      <w:r>
        <w:rPr>
          <w:sz w:val="24"/>
        </w:rPr>
        <w:t>) except as provided in rule 18.8(b), will dismiss a review proceeding for failure to timely file a notice of appeal, a notice for discretionary review, a motion for discretionary review of a decision of the Court of Appeals, or a petition for review. A party may object to the ruling of the commissioner or clerk only as provided in rule 17.7.</w:t>
      </w:r>
    </w:p>
    <w:p w:rsidR="00C2307B" w:rsidRPr="00C2307B" w:rsidRDefault="00C2307B" w:rsidP="00951E41">
      <w:pPr>
        <w:spacing w:before="158" w:line="259" w:lineRule="auto"/>
        <w:ind w:left="90" w:firstLine="630"/>
        <w:rPr>
          <w:sz w:val="24"/>
        </w:rPr>
      </w:pPr>
      <w:r>
        <w:rPr>
          <w:b/>
          <w:sz w:val="24"/>
        </w:rPr>
        <w:t>(c)</w:t>
      </w:r>
      <w:proofErr w:type="gramStart"/>
      <w:r>
        <w:rPr>
          <w:b/>
          <w:sz w:val="24"/>
        </w:rPr>
        <w:t>-(</w:t>
      </w:r>
      <w:proofErr w:type="gramEnd"/>
      <w:r>
        <w:rPr>
          <w:b/>
          <w:sz w:val="24"/>
        </w:rPr>
        <w:t>d)</w:t>
      </w:r>
      <w:r w:rsidRPr="00C2307B">
        <w:rPr>
          <w:sz w:val="24"/>
        </w:rPr>
        <w:t xml:space="preserve"> </w:t>
      </w:r>
      <w:r>
        <w:rPr>
          <w:sz w:val="24"/>
        </w:rPr>
        <w:t>[Unchanged.]</w:t>
      </w:r>
    </w:p>
    <w:p w:rsidR="005F513E" w:rsidRDefault="00C2307B" w:rsidP="00951E41">
      <w:pPr>
        <w:spacing w:before="160" w:line="256" w:lineRule="auto"/>
        <w:ind w:left="90" w:hanging="90"/>
        <w:jc w:val="center"/>
        <w:rPr>
          <w:sz w:val="24"/>
        </w:rPr>
      </w:pPr>
      <w:r>
        <w:rPr>
          <w:sz w:val="24"/>
        </w:rPr>
        <w:t>References</w:t>
      </w:r>
    </w:p>
    <w:p w:rsidR="00C2307B" w:rsidRPr="00C2307B" w:rsidRDefault="00C2307B" w:rsidP="00951E41">
      <w:pPr>
        <w:spacing w:before="160" w:line="256" w:lineRule="auto"/>
        <w:rPr>
          <w:sz w:val="24"/>
        </w:rPr>
      </w:pPr>
      <w:bookmarkStart w:id="0" w:name="_GoBack"/>
      <w:bookmarkEnd w:id="0"/>
      <w:r>
        <w:rPr>
          <w:sz w:val="24"/>
        </w:rPr>
        <w:t>[Unchanged.]</w:t>
      </w:r>
    </w:p>
    <w:sectPr w:rsidR="00C2307B" w:rsidRPr="00C2307B" w:rsidSect="00C2307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3906"/>
    <w:multiLevelType w:val="hybridMultilevel"/>
    <w:tmpl w:val="908261E0"/>
    <w:lvl w:ilvl="0" w:tplc="6A026316">
      <w:start w:val="1"/>
      <w:numFmt w:val="upperLetter"/>
      <w:lvlText w:val="%1."/>
      <w:lvlJc w:val="left"/>
      <w:pPr>
        <w:ind w:left="364" w:hanging="24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B8F07BAA">
      <w:start w:val="1"/>
      <w:numFmt w:val="lowerLetter"/>
      <w:lvlText w:val="(%2)"/>
      <w:lvlJc w:val="left"/>
      <w:pPr>
        <w:ind w:left="120" w:hanging="3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 w:tplc="BE125D1A">
      <w:numFmt w:val="bullet"/>
      <w:lvlText w:val="•"/>
      <w:lvlJc w:val="left"/>
      <w:pPr>
        <w:ind w:left="1391" w:hanging="339"/>
      </w:pPr>
      <w:rPr>
        <w:rFonts w:hint="default"/>
        <w:lang w:val="en-US" w:eastAsia="en-US" w:bidi="en-US"/>
      </w:rPr>
    </w:lvl>
    <w:lvl w:ilvl="3" w:tplc="48205200">
      <w:numFmt w:val="bullet"/>
      <w:lvlText w:val="•"/>
      <w:lvlJc w:val="left"/>
      <w:pPr>
        <w:ind w:left="2422" w:hanging="339"/>
      </w:pPr>
      <w:rPr>
        <w:rFonts w:hint="default"/>
        <w:lang w:val="en-US" w:eastAsia="en-US" w:bidi="en-US"/>
      </w:rPr>
    </w:lvl>
    <w:lvl w:ilvl="4" w:tplc="3D229C96">
      <w:numFmt w:val="bullet"/>
      <w:lvlText w:val="•"/>
      <w:lvlJc w:val="left"/>
      <w:pPr>
        <w:ind w:left="3453" w:hanging="339"/>
      </w:pPr>
      <w:rPr>
        <w:rFonts w:hint="default"/>
        <w:lang w:val="en-US" w:eastAsia="en-US" w:bidi="en-US"/>
      </w:rPr>
    </w:lvl>
    <w:lvl w:ilvl="5" w:tplc="90884A5E">
      <w:numFmt w:val="bullet"/>
      <w:lvlText w:val="•"/>
      <w:lvlJc w:val="left"/>
      <w:pPr>
        <w:ind w:left="4484" w:hanging="339"/>
      </w:pPr>
      <w:rPr>
        <w:rFonts w:hint="default"/>
        <w:lang w:val="en-US" w:eastAsia="en-US" w:bidi="en-US"/>
      </w:rPr>
    </w:lvl>
    <w:lvl w:ilvl="6" w:tplc="826863DA">
      <w:numFmt w:val="bullet"/>
      <w:lvlText w:val="•"/>
      <w:lvlJc w:val="left"/>
      <w:pPr>
        <w:ind w:left="5515" w:hanging="339"/>
      </w:pPr>
      <w:rPr>
        <w:rFonts w:hint="default"/>
        <w:lang w:val="en-US" w:eastAsia="en-US" w:bidi="en-US"/>
      </w:rPr>
    </w:lvl>
    <w:lvl w:ilvl="7" w:tplc="215C320A">
      <w:numFmt w:val="bullet"/>
      <w:lvlText w:val="•"/>
      <w:lvlJc w:val="left"/>
      <w:pPr>
        <w:ind w:left="6546" w:hanging="339"/>
      </w:pPr>
      <w:rPr>
        <w:rFonts w:hint="default"/>
        <w:lang w:val="en-US" w:eastAsia="en-US" w:bidi="en-US"/>
      </w:rPr>
    </w:lvl>
    <w:lvl w:ilvl="8" w:tplc="0812EE5E">
      <w:numFmt w:val="bullet"/>
      <w:lvlText w:val="•"/>
      <w:lvlJc w:val="left"/>
      <w:pPr>
        <w:ind w:left="7577" w:hanging="33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E"/>
    <w:rsid w:val="005F513E"/>
    <w:rsid w:val="00951E41"/>
    <w:rsid w:val="00C2307B"/>
    <w:rsid w:val="00C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0238D3EA-B53D-40F8-A661-17BD02D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F513E"/>
    <w:pPr>
      <w:ind w:left="119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2</cp:revision>
  <dcterms:created xsi:type="dcterms:W3CDTF">2022-01-14T01:11:00Z</dcterms:created>
  <dcterms:modified xsi:type="dcterms:W3CDTF">2022-01-14T01:38:00Z</dcterms:modified>
</cp:coreProperties>
</file>